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A666" w14:textId="77777777" w:rsidR="00B52616" w:rsidRPr="00B52616" w:rsidRDefault="00B52616" w:rsidP="00B52616">
      <w:r w:rsidRPr="00B52616">
        <w:rPr>
          <w:b/>
          <w:bCs/>
          <w:u w:val="single"/>
        </w:rPr>
        <w:t>Internal audit</w:t>
      </w:r>
    </w:p>
    <w:p w14:paraId="032E97C9" w14:textId="77777777" w:rsidR="00B52616" w:rsidRPr="00B52616" w:rsidRDefault="00B52616" w:rsidP="00B52616">
      <w:r w:rsidRPr="00B52616">
        <w:t>When appointing an internal audit provider, councils and parish meetings must adhere to two key principles: independence and competence. </w:t>
      </w:r>
      <w:r w:rsidRPr="00B52616">
        <w:rPr>
          <w:b/>
          <w:bCs/>
        </w:rPr>
        <w:t>The internal auditor must be independent which means that they have not had any involvement in, or responsibility for, the financial decision making, management or control of the authority, or for the authority’s financial controls and procedures.  </w:t>
      </w:r>
      <w:r w:rsidRPr="00B52616">
        <w:t>For more detailed information, refer to the </w:t>
      </w:r>
      <w:hyperlink r:id="rId4" w:tgtFrame="_blank" w:history="1">
        <w:r w:rsidRPr="00B52616">
          <w:rPr>
            <w:rStyle w:val="Hyperlink"/>
          </w:rPr>
          <w:t>Governance and Accountability Practitioners’ Guide, starting from page 24</w:t>
        </w:r>
      </w:hyperlink>
      <w:r w:rsidRPr="00B52616">
        <w:t>.</w:t>
      </w:r>
    </w:p>
    <w:p w14:paraId="2D81AFE5" w14:textId="77777777" w:rsidR="00B52616" w:rsidRPr="00B52616" w:rsidRDefault="00B52616" w:rsidP="00B52616">
      <w:r w:rsidRPr="00B52616">
        <w:t>An internal auditor should provide you with a letter of engagement which would normally include: </w:t>
      </w:r>
    </w:p>
    <w:p w14:paraId="6345AEAC" w14:textId="77777777" w:rsidR="00B52616" w:rsidRPr="00B52616" w:rsidRDefault="00B52616" w:rsidP="00B52616">
      <w:r w:rsidRPr="00B52616">
        <w:t>·       </w:t>
      </w:r>
      <w:proofErr w:type="gramStart"/>
      <w:r w:rsidRPr="00B52616">
        <w:t>roles</w:t>
      </w:r>
      <w:proofErr w:type="gramEnd"/>
      <w:r w:rsidRPr="00B52616">
        <w:t xml:space="preserve"> and responsibilities</w:t>
      </w:r>
    </w:p>
    <w:p w14:paraId="034ADC19" w14:textId="77777777" w:rsidR="00B52616" w:rsidRPr="00B52616" w:rsidRDefault="00B52616" w:rsidP="00B52616">
      <w:r w:rsidRPr="00B52616">
        <w:t>·       </w:t>
      </w:r>
      <w:proofErr w:type="gramStart"/>
      <w:r w:rsidRPr="00B52616">
        <w:t>audit</w:t>
      </w:r>
      <w:proofErr w:type="gramEnd"/>
      <w:r w:rsidRPr="00B52616">
        <w:t xml:space="preserve"> planning and timing of visits</w:t>
      </w:r>
    </w:p>
    <w:p w14:paraId="69EA55DD" w14:textId="77777777" w:rsidR="00B52616" w:rsidRPr="00B52616" w:rsidRDefault="00B52616" w:rsidP="00B52616">
      <w:r w:rsidRPr="00B52616">
        <w:t>·       </w:t>
      </w:r>
      <w:proofErr w:type="gramStart"/>
      <w:r w:rsidRPr="00B52616">
        <w:t>reporting</w:t>
      </w:r>
      <w:proofErr w:type="gramEnd"/>
      <w:r w:rsidRPr="00B52616">
        <w:t xml:space="preserve"> requirements</w:t>
      </w:r>
    </w:p>
    <w:p w14:paraId="5DECF4A0" w14:textId="77777777" w:rsidR="00B52616" w:rsidRPr="00B52616" w:rsidRDefault="00B52616" w:rsidP="00B52616">
      <w:r w:rsidRPr="00B52616">
        <w:t>·       </w:t>
      </w:r>
      <w:proofErr w:type="gramStart"/>
      <w:r w:rsidRPr="00B52616">
        <w:t>rights</w:t>
      </w:r>
      <w:proofErr w:type="gramEnd"/>
      <w:r w:rsidRPr="00B52616">
        <w:t xml:space="preserve"> to access to information, members and officers</w:t>
      </w:r>
    </w:p>
    <w:p w14:paraId="667179D6" w14:textId="77777777" w:rsidR="00B52616" w:rsidRPr="00B52616" w:rsidRDefault="00B52616" w:rsidP="00B52616">
      <w:r w:rsidRPr="00B52616">
        <w:t>·       </w:t>
      </w:r>
      <w:proofErr w:type="gramStart"/>
      <w:r w:rsidRPr="00B52616">
        <w:t>period</w:t>
      </w:r>
      <w:proofErr w:type="gramEnd"/>
      <w:r w:rsidRPr="00B52616">
        <w:t xml:space="preserve"> of engagement</w:t>
      </w:r>
    </w:p>
    <w:p w14:paraId="2A5BED2C" w14:textId="77777777" w:rsidR="00B52616" w:rsidRPr="00B52616" w:rsidRDefault="00B52616" w:rsidP="00B52616">
      <w:r w:rsidRPr="00B52616">
        <w:t>·       </w:t>
      </w:r>
      <w:proofErr w:type="gramStart"/>
      <w:r w:rsidRPr="00B52616">
        <w:t>remuneration</w:t>
      </w:r>
      <w:proofErr w:type="gramEnd"/>
    </w:p>
    <w:p w14:paraId="23A67013" w14:textId="77777777" w:rsidR="00B52616" w:rsidRPr="00B52616" w:rsidRDefault="00B52616" w:rsidP="00B52616">
      <w:r w:rsidRPr="00B52616">
        <w:t>·       </w:t>
      </w:r>
      <w:proofErr w:type="gramStart"/>
      <w:r w:rsidRPr="00B52616">
        <w:t>any</w:t>
      </w:r>
      <w:proofErr w:type="gramEnd"/>
      <w:r w:rsidRPr="00B52616">
        <w:t xml:space="preserve"> other matters required for the management of the engagement by the authority</w:t>
      </w:r>
    </w:p>
    <w:p w14:paraId="4326607E" w14:textId="77777777" w:rsidR="00B52616" w:rsidRPr="00B52616" w:rsidRDefault="00B52616" w:rsidP="00B52616">
      <w:r w:rsidRPr="00B52616">
        <w:rPr>
          <w:b/>
          <w:bCs/>
        </w:rPr>
        <w:t>An internal audit should be carried out from 1</w:t>
      </w:r>
      <w:r w:rsidRPr="00B52616">
        <w:rPr>
          <w:b/>
          <w:bCs/>
          <w:vertAlign w:val="superscript"/>
        </w:rPr>
        <w:t>st</w:t>
      </w:r>
      <w:r w:rsidRPr="00B52616">
        <w:rPr>
          <w:b/>
          <w:bCs/>
        </w:rPr>
        <w:t> April and no later than 30</w:t>
      </w:r>
      <w:r w:rsidRPr="00B52616">
        <w:rPr>
          <w:b/>
          <w:bCs/>
          <w:vertAlign w:val="superscript"/>
        </w:rPr>
        <w:t>th</w:t>
      </w:r>
      <w:r w:rsidRPr="00B52616">
        <w:rPr>
          <w:b/>
          <w:bCs/>
        </w:rPr>
        <w:t> June, if possible.</w:t>
      </w:r>
    </w:p>
    <w:p w14:paraId="3250A894" w14:textId="77777777" w:rsidR="00B52616" w:rsidRPr="00B52616" w:rsidRDefault="00B52616" w:rsidP="00B52616">
      <w:r w:rsidRPr="00B52616">
        <w:t>The internal auditor will complete the Annual Internal Audit Report (AIAR), of the AGAR. This report must be signed by the auditor with a wet signature (physically signed with a pen on paper). A scanned copy of this signed document is acceptable. Additionally, the council must receive a report outlining the internal audit conducted.  </w:t>
      </w:r>
      <w:r w:rsidRPr="00B52616">
        <w:rPr>
          <w:b/>
          <w:bCs/>
        </w:rPr>
        <w:t>Any findings will be detailed in the report, and the council is required to address any reported matters, ensuring that their responses and actions are recorded in the minutes</w:t>
      </w:r>
      <w:r w:rsidRPr="00B52616">
        <w:t>.</w:t>
      </w:r>
    </w:p>
    <w:p w14:paraId="5B5FF155" w14:textId="77777777" w:rsidR="00B52616" w:rsidRPr="00B52616" w:rsidRDefault="00B52616" w:rsidP="00B52616">
      <w:r w:rsidRPr="00B52616">
        <w:t>It is recommended, though not legally required, to complete the internal audit before the council signs the annual governance and accounting statements of the AGAR. The accounting statements must be filled out in draft so that the internal auditor can cross check the figures. The internal auditor should not fill in the governance and accounting statements for the council.  </w:t>
      </w:r>
    </w:p>
    <w:p w14:paraId="00C925B8" w14:textId="77777777" w:rsidR="006221D9" w:rsidRDefault="006221D9"/>
    <w:sectPr w:rsidR="006221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12"/>
    <w:rsid w:val="00404D72"/>
    <w:rsid w:val="006221D9"/>
    <w:rsid w:val="0086132B"/>
    <w:rsid w:val="00B52616"/>
    <w:rsid w:val="00B82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E4029"/>
  <w15:chartTrackingRefBased/>
  <w15:docId w15:val="{9EA544DD-AD7A-4799-9729-C480628F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D12"/>
    <w:rPr>
      <w:rFonts w:eastAsiaTheme="majorEastAsia" w:cstheme="majorBidi"/>
      <w:color w:val="272727" w:themeColor="text1" w:themeTint="D8"/>
    </w:rPr>
  </w:style>
  <w:style w:type="paragraph" w:styleId="Title">
    <w:name w:val="Title"/>
    <w:basedOn w:val="Normal"/>
    <w:next w:val="Normal"/>
    <w:link w:val="TitleChar"/>
    <w:uiPriority w:val="10"/>
    <w:qFormat/>
    <w:rsid w:val="00B8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D12"/>
    <w:pPr>
      <w:spacing w:before="160"/>
      <w:jc w:val="center"/>
    </w:pPr>
    <w:rPr>
      <w:i/>
      <w:iCs/>
      <w:color w:val="404040" w:themeColor="text1" w:themeTint="BF"/>
    </w:rPr>
  </w:style>
  <w:style w:type="character" w:customStyle="1" w:styleId="QuoteChar">
    <w:name w:val="Quote Char"/>
    <w:basedOn w:val="DefaultParagraphFont"/>
    <w:link w:val="Quote"/>
    <w:uiPriority w:val="29"/>
    <w:rsid w:val="00B82D12"/>
    <w:rPr>
      <w:i/>
      <w:iCs/>
      <w:color w:val="404040" w:themeColor="text1" w:themeTint="BF"/>
    </w:rPr>
  </w:style>
  <w:style w:type="paragraph" w:styleId="ListParagraph">
    <w:name w:val="List Paragraph"/>
    <w:basedOn w:val="Normal"/>
    <w:uiPriority w:val="34"/>
    <w:qFormat/>
    <w:rsid w:val="00B82D12"/>
    <w:pPr>
      <w:ind w:left="720"/>
      <w:contextualSpacing/>
    </w:pPr>
  </w:style>
  <w:style w:type="character" w:styleId="IntenseEmphasis">
    <w:name w:val="Intense Emphasis"/>
    <w:basedOn w:val="DefaultParagraphFont"/>
    <w:uiPriority w:val="21"/>
    <w:qFormat/>
    <w:rsid w:val="00B82D12"/>
    <w:rPr>
      <w:i/>
      <w:iCs/>
      <w:color w:val="0F4761" w:themeColor="accent1" w:themeShade="BF"/>
    </w:rPr>
  </w:style>
  <w:style w:type="paragraph" w:styleId="IntenseQuote">
    <w:name w:val="Intense Quote"/>
    <w:basedOn w:val="Normal"/>
    <w:next w:val="Normal"/>
    <w:link w:val="IntenseQuoteChar"/>
    <w:uiPriority w:val="30"/>
    <w:qFormat/>
    <w:rsid w:val="00B82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D12"/>
    <w:rPr>
      <w:i/>
      <w:iCs/>
      <w:color w:val="0F4761" w:themeColor="accent1" w:themeShade="BF"/>
    </w:rPr>
  </w:style>
  <w:style w:type="character" w:styleId="IntenseReference">
    <w:name w:val="Intense Reference"/>
    <w:basedOn w:val="DefaultParagraphFont"/>
    <w:uiPriority w:val="32"/>
    <w:qFormat/>
    <w:rsid w:val="00B82D12"/>
    <w:rPr>
      <w:b/>
      <w:bCs/>
      <w:smallCaps/>
      <w:color w:val="0F4761" w:themeColor="accent1" w:themeShade="BF"/>
      <w:spacing w:val="5"/>
    </w:rPr>
  </w:style>
  <w:style w:type="character" w:styleId="Hyperlink">
    <w:name w:val="Hyperlink"/>
    <w:basedOn w:val="DefaultParagraphFont"/>
    <w:uiPriority w:val="99"/>
    <w:unhideWhenUsed/>
    <w:rsid w:val="00B52616"/>
    <w:rPr>
      <w:color w:val="467886" w:themeColor="hyperlink"/>
      <w:u w:val="single"/>
    </w:rPr>
  </w:style>
  <w:style w:type="character" w:styleId="UnresolvedMention">
    <w:name w:val="Unresolved Mention"/>
    <w:basedOn w:val="DefaultParagraphFont"/>
    <w:uiPriority w:val="99"/>
    <w:semiHidden/>
    <w:unhideWhenUsed/>
    <w:rsid w:val="00B52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aaa.co.uk/wp-content/uploads/2025/10/FINAL-Practitioners-Guide-2025-with-addendum.pdf"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1CEF9B-A86B-4CB2-83DD-E0B905F612DF}"/>
</file>

<file path=customXml/itemProps2.xml><?xml version="1.0" encoding="utf-8"?>
<ds:datastoreItem xmlns:ds="http://schemas.openxmlformats.org/officeDocument/2006/customXml" ds:itemID="{46754ECB-0966-4C92-9D5E-71EF790F3ACF}"/>
</file>

<file path=customXml/itemProps3.xml><?xml version="1.0" encoding="utf-8"?>
<ds:datastoreItem xmlns:ds="http://schemas.openxmlformats.org/officeDocument/2006/customXml" ds:itemID="{00A682B4-FEE9-4625-AF0D-04240A5F14AF}"/>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Maisy Pearson</cp:lastModifiedBy>
  <cp:revision>2</cp:revision>
  <dcterms:created xsi:type="dcterms:W3CDTF">2026-08-06T12:25:00Z</dcterms:created>
  <dcterms:modified xsi:type="dcterms:W3CDTF">2026-08-06T12:25:00Z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ies>
</file>